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4847" w:rsidRPr="00664847" w:rsidRDefault="00664847" w:rsidP="00664847">
      <w:pPr>
        <w:numPr>
          <w:ilvl w:val="1"/>
          <w:numId w:val="0"/>
        </w:numPr>
        <w:spacing w:after="240" w:line="276" w:lineRule="auto"/>
        <w:jc w:val="center"/>
        <w:rPr>
          <w:rFonts w:eastAsia="Calibri" w:cs="Times New Roman"/>
          <w:b/>
          <w:caps/>
          <w:spacing w:val="20"/>
          <w:szCs w:val="24"/>
          <w:lang w:eastAsia="lt-LT"/>
        </w:rPr>
      </w:pPr>
      <w:r w:rsidRPr="00664847">
        <w:rPr>
          <w:rFonts w:eastAsia="Calibri" w:cs="Times New Roman"/>
          <w:b/>
          <w:caps/>
          <w:spacing w:val="20"/>
          <w:szCs w:val="24"/>
          <w:lang w:eastAsia="lt-LT"/>
        </w:rPr>
        <w:t>PASIŪLYMŲ VERTINIMO KRITERIJAI ir Sąlygos</w:t>
      </w:r>
    </w:p>
    <w:p w:rsidR="00664847" w:rsidRPr="00664847" w:rsidRDefault="00664847" w:rsidP="00664847">
      <w:pPr>
        <w:numPr>
          <w:ilvl w:val="0"/>
          <w:numId w:val="1"/>
        </w:numPr>
        <w:tabs>
          <w:tab w:val="left" w:pos="567"/>
        </w:tabs>
        <w:spacing w:line="240" w:lineRule="auto"/>
        <w:ind w:left="0" w:firstLine="567"/>
        <w:contextualSpacing/>
        <w:jc w:val="both"/>
        <w:rPr>
          <w:rFonts w:eastAsia="Calibri" w:cs="Times New Roman"/>
          <w:szCs w:val="24"/>
          <w:lang w:eastAsia="lt-LT"/>
        </w:rPr>
      </w:pPr>
      <w:r w:rsidRPr="00664847">
        <w:rPr>
          <w:rFonts w:eastAsia="Calibri" w:cs="Times New Roman"/>
          <w:szCs w:val="24"/>
          <w:lang w:eastAsia="lt-LT"/>
        </w:rPr>
        <w:t>Perkančioji organizacija ekonomiškai naudingiausią pasiūlymą išrenka pagal kainos ir kokybės santykį.</w:t>
      </w:r>
    </w:p>
    <w:p w:rsidR="00664847" w:rsidRPr="00664847" w:rsidRDefault="00664847" w:rsidP="00664847">
      <w:pPr>
        <w:numPr>
          <w:ilvl w:val="0"/>
          <w:numId w:val="1"/>
        </w:numPr>
        <w:tabs>
          <w:tab w:val="left" w:pos="567"/>
          <w:tab w:val="left" w:pos="1276"/>
          <w:tab w:val="left" w:pos="1418"/>
        </w:tabs>
        <w:spacing w:after="0" w:line="240" w:lineRule="auto"/>
        <w:ind w:left="0" w:firstLine="567"/>
        <w:contextualSpacing/>
        <w:jc w:val="both"/>
        <w:rPr>
          <w:rFonts w:eastAsia="Calibri" w:cs="Times New Roman"/>
          <w:szCs w:val="24"/>
          <w:lang w:eastAsia="lt-LT"/>
        </w:rPr>
      </w:pPr>
      <w:r w:rsidRPr="00664847">
        <w:rPr>
          <w:rFonts w:eastAsia="Calibri" w:cs="Times New Roman"/>
          <w:szCs w:val="24"/>
          <w:lang w:eastAsia="lt-LT"/>
        </w:rPr>
        <w:t>Ekonominio naudingumo vertinimas bus atliekamas pagal vertinimo kriterijus ir jų lyginamuosius svorius. Visi balai skaičiuojami paliekant 2 skaitmenis po kablelio. Perkančioji organizacija numato galimybę, esant poreikiui, perskaičiuoti tiekėjams suteiktus ekonominio naudingumo vertinimo balus, jei vienas ar keli iš tiekėjų pasitraukia (ar yra pašalinami) iš pirkimo ar laimėtojas nesudaro sutarties, ar neįvykdo sutarties įsigaliojimo sąlygų, ir tokio (-</w:t>
      </w:r>
      <w:proofErr w:type="spellStart"/>
      <w:r w:rsidRPr="00664847">
        <w:rPr>
          <w:rFonts w:eastAsia="Calibri" w:cs="Times New Roman"/>
          <w:szCs w:val="24"/>
          <w:lang w:eastAsia="lt-LT"/>
        </w:rPr>
        <w:t>ių</w:t>
      </w:r>
      <w:proofErr w:type="spellEnd"/>
      <w:r w:rsidRPr="00664847">
        <w:rPr>
          <w:rFonts w:eastAsia="Calibri" w:cs="Times New Roman"/>
          <w:szCs w:val="24"/>
          <w:lang w:eastAsia="lt-LT"/>
        </w:rPr>
        <w:t>) tiekėjo (-ų) pasiūlymo kaina (pagal kriterijų (C)) buvo mažiausia ir su ja buvo lyginami (naudojant formulę) kitų tiekėjų pasiūlymai. Jei pasitraukusių ar pašalintų tiekėjų pasiūlymo kaina nebuvo mažiausia (todėl nebuvo naudojama vertinant kitų tiekėjų pasiūlymus), Perkančioji organizacija balų perskaičiavimo neatlieka.</w:t>
      </w:r>
    </w:p>
    <w:p w:rsidR="00664847" w:rsidRPr="00664847" w:rsidRDefault="00664847" w:rsidP="00664847">
      <w:pPr>
        <w:numPr>
          <w:ilvl w:val="0"/>
          <w:numId w:val="1"/>
        </w:numPr>
        <w:tabs>
          <w:tab w:val="left" w:pos="567"/>
        </w:tabs>
        <w:spacing w:line="240" w:lineRule="auto"/>
        <w:ind w:left="0" w:firstLine="567"/>
        <w:contextualSpacing/>
        <w:jc w:val="both"/>
        <w:rPr>
          <w:rFonts w:eastAsia="Calibri" w:cs="Times New Roman"/>
          <w:szCs w:val="24"/>
          <w:lang w:eastAsia="lt-LT"/>
        </w:rPr>
      </w:pPr>
      <w:r w:rsidRPr="00664847">
        <w:rPr>
          <w:rFonts w:eastAsia="Times New Roman" w:cs="Times New Roman"/>
          <w:szCs w:val="24"/>
          <w:lang w:val="x-none"/>
        </w:rPr>
        <w:t>Pasiūlymų vertinimo kriterijai: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797"/>
        <w:gridCol w:w="2267"/>
      </w:tblGrid>
      <w:tr w:rsidR="00664847" w:rsidRPr="00664847" w:rsidTr="00B00834">
        <w:tc>
          <w:tcPr>
            <w:tcW w:w="570" w:type="dxa"/>
            <w:shd w:val="clear" w:color="auto" w:fill="auto"/>
          </w:tcPr>
          <w:p w:rsidR="00664847" w:rsidRPr="00664847" w:rsidRDefault="00664847" w:rsidP="00664847">
            <w:pPr>
              <w:suppressAutoHyphens/>
              <w:spacing w:after="0" w:line="240" w:lineRule="auto"/>
              <w:jc w:val="center"/>
              <w:rPr>
                <w:rFonts w:eastAsia="Calibri" w:cs="Times New Roman"/>
                <w:b/>
                <w:szCs w:val="24"/>
                <w:lang w:eastAsia="lt-LT"/>
              </w:rPr>
            </w:pPr>
            <w:r w:rsidRPr="00664847">
              <w:rPr>
                <w:rFonts w:eastAsia="Calibri" w:cs="Times New Roman"/>
                <w:b/>
                <w:szCs w:val="24"/>
                <w:lang w:eastAsia="lt-LT"/>
              </w:rPr>
              <w:t>Eil. Nr.</w:t>
            </w:r>
          </w:p>
        </w:tc>
        <w:tc>
          <w:tcPr>
            <w:tcW w:w="6797" w:type="dxa"/>
            <w:shd w:val="clear" w:color="auto" w:fill="auto"/>
            <w:vAlign w:val="center"/>
          </w:tcPr>
          <w:p w:rsidR="00664847" w:rsidRPr="00664847" w:rsidRDefault="00664847" w:rsidP="00664847">
            <w:pPr>
              <w:suppressAutoHyphens/>
              <w:spacing w:after="0" w:line="240" w:lineRule="auto"/>
              <w:jc w:val="center"/>
              <w:rPr>
                <w:rFonts w:eastAsia="Calibri" w:cs="Times New Roman"/>
                <w:b/>
                <w:szCs w:val="24"/>
                <w:lang w:eastAsia="lt-LT"/>
              </w:rPr>
            </w:pPr>
            <w:r w:rsidRPr="00664847">
              <w:rPr>
                <w:rFonts w:eastAsia="Calibri" w:cs="Times New Roman"/>
                <w:b/>
                <w:szCs w:val="24"/>
                <w:lang w:eastAsia="lt-LT"/>
              </w:rPr>
              <w:t>Vertinimo kriterijai</w:t>
            </w:r>
          </w:p>
        </w:tc>
        <w:tc>
          <w:tcPr>
            <w:tcW w:w="2267" w:type="dxa"/>
            <w:shd w:val="clear" w:color="auto" w:fill="auto"/>
            <w:vAlign w:val="center"/>
          </w:tcPr>
          <w:p w:rsidR="00664847" w:rsidRPr="00664847" w:rsidRDefault="00664847" w:rsidP="00664847">
            <w:pPr>
              <w:suppressAutoHyphens/>
              <w:spacing w:after="0" w:line="240" w:lineRule="auto"/>
              <w:ind w:firstLine="33"/>
              <w:jc w:val="center"/>
              <w:rPr>
                <w:rFonts w:eastAsia="Calibri" w:cs="Times New Roman"/>
                <w:b/>
                <w:szCs w:val="24"/>
                <w:lang w:eastAsia="lt-LT"/>
              </w:rPr>
            </w:pPr>
            <w:r w:rsidRPr="00664847">
              <w:rPr>
                <w:rFonts w:eastAsia="Calibri" w:cs="Times New Roman"/>
                <w:b/>
                <w:szCs w:val="24"/>
                <w:lang w:eastAsia="lt-LT"/>
              </w:rPr>
              <w:t>Kriterijaus lyginamasis svoris</w:t>
            </w:r>
          </w:p>
        </w:tc>
      </w:tr>
      <w:tr w:rsidR="00664847" w:rsidRPr="00664847" w:rsidTr="00B00834">
        <w:tc>
          <w:tcPr>
            <w:tcW w:w="570" w:type="dxa"/>
            <w:shd w:val="clear" w:color="auto" w:fill="auto"/>
          </w:tcPr>
          <w:p w:rsidR="00664847" w:rsidRPr="00664847" w:rsidRDefault="00664847" w:rsidP="00664847">
            <w:pPr>
              <w:suppressAutoHyphens/>
              <w:spacing w:after="0" w:line="240" w:lineRule="auto"/>
              <w:jc w:val="center"/>
              <w:rPr>
                <w:rFonts w:eastAsia="Calibri" w:cs="Times New Roman"/>
                <w:szCs w:val="24"/>
                <w:lang w:eastAsia="lt-LT"/>
              </w:rPr>
            </w:pPr>
            <w:r w:rsidRPr="00664847">
              <w:rPr>
                <w:rFonts w:eastAsia="Calibri" w:cs="Times New Roman"/>
                <w:szCs w:val="24"/>
                <w:lang w:eastAsia="lt-LT"/>
              </w:rPr>
              <w:t>1.</w:t>
            </w:r>
          </w:p>
        </w:tc>
        <w:tc>
          <w:tcPr>
            <w:tcW w:w="6797" w:type="dxa"/>
            <w:shd w:val="clear" w:color="auto" w:fill="auto"/>
          </w:tcPr>
          <w:p w:rsidR="00664847" w:rsidRPr="00664847" w:rsidRDefault="00664847" w:rsidP="00664847">
            <w:pPr>
              <w:suppressAutoHyphens/>
              <w:spacing w:after="0" w:line="276" w:lineRule="auto"/>
              <w:ind w:firstLine="33"/>
              <w:jc w:val="both"/>
              <w:rPr>
                <w:rFonts w:eastAsia="Calibri" w:cs="Times New Roman"/>
                <w:szCs w:val="24"/>
                <w:lang w:eastAsia="lt-LT"/>
              </w:rPr>
            </w:pPr>
            <w:r w:rsidRPr="00664847">
              <w:rPr>
                <w:rFonts w:eastAsia="Calibri" w:cs="Times New Roman"/>
                <w:szCs w:val="24"/>
                <w:lang w:eastAsia="lt-LT"/>
              </w:rPr>
              <w:t>Kaina, C</w:t>
            </w:r>
          </w:p>
        </w:tc>
        <w:tc>
          <w:tcPr>
            <w:tcW w:w="2267" w:type="dxa"/>
            <w:shd w:val="clear" w:color="auto" w:fill="auto"/>
          </w:tcPr>
          <w:p w:rsidR="00664847" w:rsidRPr="00664847" w:rsidRDefault="00664847" w:rsidP="00664847">
            <w:pPr>
              <w:suppressAutoHyphens/>
              <w:spacing w:after="0" w:line="276" w:lineRule="auto"/>
              <w:jc w:val="center"/>
              <w:rPr>
                <w:rFonts w:eastAsia="Calibri" w:cs="Times New Roman"/>
                <w:szCs w:val="24"/>
                <w:lang w:eastAsia="lt-LT"/>
              </w:rPr>
            </w:pPr>
            <w:r w:rsidRPr="00664847">
              <w:rPr>
                <w:rFonts w:eastAsia="Calibri" w:cs="Times New Roman"/>
                <w:szCs w:val="24"/>
                <w:lang w:eastAsia="lt-LT"/>
              </w:rPr>
              <w:t>X=90</w:t>
            </w:r>
          </w:p>
        </w:tc>
      </w:tr>
      <w:tr w:rsidR="00664847" w:rsidRPr="00664847" w:rsidTr="00B00834">
        <w:tc>
          <w:tcPr>
            <w:tcW w:w="570" w:type="dxa"/>
            <w:shd w:val="clear" w:color="auto" w:fill="auto"/>
          </w:tcPr>
          <w:p w:rsidR="00664847" w:rsidRPr="00664847" w:rsidRDefault="00664847" w:rsidP="00664847">
            <w:pPr>
              <w:suppressAutoHyphens/>
              <w:spacing w:after="0" w:line="240" w:lineRule="auto"/>
              <w:jc w:val="center"/>
              <w:rPr>
                <w:rFonts w:eastAsia="Calibri" w:cs="Times New Roman"/>
                <w:szCs w:val="24"/>
                <w:lang w:eastAsia="lt-LT"/>
              </w:rPr>
            </w:pPr>
            <w:r w:rsidRPr="00664847">
              <w:rPr>
                <w:rFonts w:eastAsia="Calibri" w:cs="Times New Roman"/>
                <w:szCs w:val="24"/>
                <w:lang w:eastAsia="lt-LT"/>
              </w:rPr>
              <w:t>2.</w:t>
            </w:r>
          </w:p>
        </w:tc>
        <w:tc>
          <w:tcPr>
            <w:tcW w:w="6797" w:type="dxa"/>
            <w:shd w:val="clear" w:color="auto" w:fill="auto"/>
          </w:tcPr>
          <w:p w:rsidR="00664847" w:rsidRPr="00664847" w:rsidRDefault="00664847" w:rsidP="00664847">
            <w:pPr>
              <w:suppressAutoHyphens/>
              <w:spacing w:after="0" w:line="276" w:lineRule="auto"/>
              <w:ind w:firstLine="33"/>
              <w:jc w:val="both"/>
              <w:rPr>
                <w:rFonts w:eastAsia="Calibri" w:cs="Times New Roman"/>
                <w:szCs w:val="24"/>
                <w:lang w:eastAsia="lt-LT"/>
              </w:rPr>
            </w:pPr>
            <w:r w:rsidRPr="00664847">
              <w:rPr>
                <w:rFonts w:eastAsia="Calibri" w:cs="Times New Roman"/>
                <w:szCs w:val="24"/>
                <w:lang w:eastAsia="lt-LT"/>
              </w:rPr>
              <w:t xml:space="preserve">Papildoma statinio garantinio termino trukmė metais, </w:t>
            </w:r>
            <w:proofErr w:type="spellStart"/>
            <w:r w:rsidRPr="00664847">
              <w:rPr>
                <w:rFonts w:eastAsia="Calibri" w:cs="Times New Roman"/>
                <w:szCs w:val="24"/>
                <w:lang w:eastAsia="lt-LT"/>
              </w:rPr>
              <w:t>Tg</w:t>
            </w:r>
            <w:proofErr w:type="spellEnd"/>
          </w:p>
        </w:tc>
        <w:tc>
          <w:tcPr>
            <w:tcW w:w="2267" w:type="dxa"/>
            <w:shd w:val="clear" w:color="auto" w:fill="auto"/>
          </w:tcPr>
          <w:p w:rsidR="00664847" w:rsidRPr="00664847" w:rsidRDefault="00664847" w:rsidP="00664847">
            <w:pPr>
              <w:suppressAutoHyphens/>
              <w:spacing w:after="0" w:line="276" w:lineRule="auto"/>
              <w:jc w:val="center"/>
              <w:rPr>
                <w:rFonts w:eastAsia="Calibri" w:cs="Times New Roman"/>
                <w:szCs w:val="24"/>
                <w:lang w:eastAsia="lt-LT"/>
              </w:rPr>
            </w:pPr>
            <w:r w:rsidRPr="00664847">
              <w:rPr>
                <w:rFonts w:eastAsia="Calibri" w:cs="Times New Roman"/>
                <w:szCs w:val="24"/>
                <w:lang w:eastAsia="lt-LT"/>
              </w:rPr>
              <w:t>Y=10</w:t>
            </w:r>
          </w:p>
        </w:tc>
      </w:tr>
    </w:tbl>
    <w:p w:rsidR="00664847" w:rsidRPr="00664847" w:rsidRDefault="00664847" w:rsidP="00664847">
      <w:pPr>
        <w:suppressAutoHyphens/>
        <w:spacing w:after="0" w:line="240" w:lineRule="auto"/>
        <w:ind w:left="-142"/>
        <w:jc w:val="both"/>
        <w:rPr>
          <w:rFonts w:eastAsia="Times New Roman" w:cs="Times New Roman"/>
          <w:szCs w:val="24"/>
        </w:rPr>
      </w:pPr>
    </w:p>
    <w:p w:rsidR="00664847" w:rsidRPr="00664847" w:rsidRDefault="00664847" w:rsidP="00664847">
      <w:pPr>
        <w:keepNext/>
        <w:numPr>
          <w:ilvl w:val="0"/>
          <w:numId w:val="1"/>
        </w:numPr>
        <w:pBdr>
          <w:top w:val="nil"/>
          <w:left w:val="nil"/>
          <w:bottom w:val="nil"/>
          <w:right w:val="nil"/>
          <w:between w:val="nil"/>
        </w:pBdr>
        <w:tabs>
          <w:tab w:val="left" w:pos="851"/>
        </w:tabs>
        <w:suppressAutoHyphens/>
        <w:spacing w:after="0" w:line="240" w:lineRule="auto"/>
        <w:ind w:left="0" w:firstLine="567"/>
        <w:contextualSpacing/>
        <w:jc w:val="both"/>
        <w:outlineLvl w:val="1"/>
        <w:rPr>
          <w:rFonts w:eastAsia="Times New Roman" w:cs="Times New Roman"/>
          <w:szCs w:val="24"/>
          <w:lang w:val="x-none"/>
        </w:rPr>
      </w:pPr>
      <w:r w:rsidRPr="00664847">
        <w:rPr>
          <w:rFonts w:eastAsia="Times New Roman" w:cs="Times New Roman"/>
          <w:szCs w:val="24"/>
          <w:lang w:val="x-none"/>
        </w:rPr>
        <w:t xml:space="preserve">Ekonominis naudingumas (S) apskaičiuojamas sudedant tiekėjo pasiūlymo kainos C ir papildomos statinio garantinio termino trukmės kriterijaus </w:t>
      </w:r>
      <w:proofErr w:type="spellStart"/>
      <w:r w:rsidRPr="00664847">
        <w:rPr>
          <w:rFonts w:eastAsia="Times New Roman" w:cs="Times New Roman"/>
          <w:szCs w:val="24"/>
          <w:lang w:val="x-none"/>
        </w:rPr>
        <w:t>Tg</w:t>
      </w:r>
      <w:proofErr w:type="spellEnd"/>
      <w:r w:rsidRPr="00664847">
        <w:rPr>
          <w:rFonts w:eastAsia="Times New Roman" w:cs="Times New Roman"/>
          <w:szCs w:val="24"/>
          <w:lang w:val="x-none"/>
        </w:rPr>
        <w:t xml:space="preserve"> balus:</w:t>
      </w:r>
    </w:p>
    <w:p w:rsidR="00664847" w:rsidRPr="00664847" w:rsidRDefault="00664847" w:rsidP="00664847">
      <w:pPr>
        <w:tabs>
          <w:tab w:val="left" w:pos="1134"/>
        </w:tabs>
        <w:suppressAutoHyphens/>
        <w:spacing w:after="0" w:line="240" w:lineRule="auto"/>
        <w:ind w:firstLine="567"/>
        <w:jc w:val="both"/>
        <w:rPr>
          <w:rFonts w:eastAsia="Times New Roman" w:cs="Times New Roman"/>
          <w:szCs w:val="24"/>
        </w:rPr>
      </w:pPr>
    </w:p>
    <w:p w:rsidR="00664847" w:rsidRPr="00664847" w:rsidRDefault="00664847" w:rsidP="00664847">
      <w:pPr>
        <w:tabs>
          <w:tab w:val="left" w:pos="1134"/>
        </w:tabs>
        <w:suppressAutoHyphens/>
        <w:spacing w:after="0" w:line="240" w:lineRule="auto"/>
        <w:ind w:firstLine="567"/>
        <w:jc w:val="both"/>
        <w:rPr>
          <w:rFonts w:eastAsia="Times New Roman" w:cs="Times New Roman"/>
          <w:b/>
          <w:szCs w:val="24"/>
        </w:rPr>
      </w:pPr>
      <w:r w:rsidRPr="00664847">
        <w:rPr>
          <w:rFonts w:eastAsia="Times New Roman" w:cs="Times New Roman"/>
          <w:szCs w:val="24"/>
        </w:rPr>
        <w:t xml:space="preserve">S = C + </w:t>
      </w:r>
      <w:proofErr w:type="spellStart"/>
      <w:r w:rsidRPr="00664847">
        <w:rPr>
          <w:rFonts w:eastAsia="Times New Roman" w:cs="Times New Roman"/>
          <w:szCs w:val="24"/>
        </w:rPr>
        <w:t>T</w:t>
      </w:r>
      <w:r w:rsidRPr="00664847">
        <w:rPr>
          <w:rFonts w:eastAsia="Times New Roman" w:cs="Times New Roman"/>
          <w:szCs w:val="24"/>
          <w:vertAlign w:val="subscript"/>
        </w:rPr>
        <w:t>g</w:t>
      </w:r>
      <w:proofErr w:type="spellEnd"/>
    </w:p>
    <w:p w:rsidR="00664847" w:rsidRPr="00664847" w:rsidRDefault="00664847" w:rsidP="00664847">
      <w:pPr>
        <w:tabs>
          <w:tab w:val="left" w:pos="1134"/>
        </w:tabs>
        <w:suppressAutoHyphens/>
        <w:spacing w:after="0" w:line="240" w:lineRule="auto"/>
        <w:ind w:firstLine="567"/>
        <w:jc w:val="both"/>
        <w:rPr>
          <w:rFonts w:eastAsia="Times New Roman" w:cs="Times New Roman"/>
          <w:b/>
          <w:szCs w:val="24"/>
        </w:rPr>
      </w:pPr>
    </w:p>
    <w:p w:rsidR="00664847" w:rsidRPr="00664847" w:rsidRDefault="00664847" w:rsidP="00664847">
      <w:pPr>
        <w:keepNext/>
        <w:numPr>
          <w:ilvl w:val="0"/>
          <w:numId w:val="1"/>
        </w:numPr>
        <w:pBdr>
          <w:top w:val="nil"/>
          <w:left w:val="nil"/>
          <w:bottom w:val="nil"/>
          <w:right w:val="nil"/>
          <w:between w:val="nil"/>
        </w:pBdr>
        <w:tabs>
          <w:tab w:val="left" w:pos="851"/>
        </w:tabs>
        <w:suppressAutoHyphens/>
        <w:spacing w:after="0" w:line="240" w:lineRule="auto"/>
        <w:ind w:left="0" w:firstLine="567"/>
        <w:contextualSpacing/>
        <w:jc w:val="both"/>
        <w:outlineLvl w:val="1"/>
        <w:rPr>
          <w:rFonts w:eastAsia="Times New Roman" w:cs="Times New Roman"/>
          <w:szCs w:val="24"/>
        </w:rPr>
      </w:pPr>
      <w:r w:rsidRPr="00664847">
        <w:rPr>
          <w:rFonts w:eastAsia="Times New Roman" w:cs="Times New Roman"/>
          <w:szCs w:val="24"/>
        </w:rPr>
        <w:t>Pasiūlymo kainos (C) balai apskaičiuojami mažiausios pasiūlytos kainos (</w:t>
      </w:r>
      <w:proofErr w:type="spellStart"/>
      <w:r w:rsidRPr="00664847">
        <w:rPr>
          <w:rFonts w:eastAsia="Times New Roman" w:cs="Times New Roman"/>
          <w:szCs w:val="24"/>
        </w:rPr>
        <w:t>C</w:t>
      </w:r>
      <w:r w:rsidRPr="00664847">
        <w:rPr>
          <w:rFonts w:eastAsia="Times New Roman" w:cs="Times New Roman"/>
          <w:szCs w:val="24"/>
          <w:vertAlign w:val="subscript"/>
        </w:rPr>
        <w:t>min</w:t>
      </w:r>
      <w:proofErr w:type="spellEnd"/>
      <w:r w:rsidRPr="00664847">
        <w:rPr>
          <w:rFonts w:eastAsia="Times New Roman" w:cs="Times New Roman"/>
          <w:szCs w:val="24"/>
        </w:rPr>
        <w:t>) ir vertinamo pasiūlymo kainos (</w:t>
      </w:r>
      <w:proofErr w:type="spellStart"/>
      <w:r w:rsidRPr="00664847">
        <w:rPr>
          <w:rFonts w:eastAsia="Times New Roman" w:cs="Times New Roman"/>
          <w:szCs w:val="24"/>
        </w:rPr>
        <w:t>C</w:t>
      </w:r>
      <w:r w:rsidRPr="00664847">
        <w:rPr>
          <w:rFonts w:eastAsia="Times New Roman" w:cs="Times New Roman"/>
          <w:szCs w:val="24"/>
          <w:vertAlign w:val="subscript"/>
        </w:rPr>
        <w:t>p</w:t>
      </w:r>
      <w:proofErr w:type="spellEnd"/>
      <w:r w:rsidRPr="00664847">
        <w:rPr>
          <w:rFonts w:eastAsia="Times New Roman" w:cs="Times New Roman"/>
          <w:szCs w:val="24"/>
        </w:rPr>
        <w:t>) santykį padauginant iš kainos lyginamojo svorio (X):</w:t>
      </w:r>
    </w:p>
    <w:p w:rsidR="00664847" w:rsidRPr="00664847" w:rsidRDefault="00664847" w:rsidP="00664847">
      <w:pPr>
        <w:tabs>
          <w:tab w:val="left" w:pos="1134"/>
        </w:tabs>
        <w:suppressAutoHyphens/>
        <w:spacing w:after="0" w:line="240" w:lineRule="auto"/>
        <w:ind w:firstLine="567"/>
        <w:jc w:val="both"/>
        <w:rPr>
          <w:rFonts w:eastAsia="Times New Roman" w:cs="Times New Roman"/>
          <w:b/>
          <w:szCs w:val="24"/>
        </w:rPr>
      </w:pPr>
    </w:p>
    <w:p w:rsidR="00664847" w:rsidRPr="00664847" w:rsidRDefault="00664847" w:rsidP="00664847">
      <w:pPr>
        <w:tabs>
          <w:tab w:val="left" w:pos="1134"/>
        </w:tabs>
        <w:suppressAutoHyphens/>
        <w:spacing w:after="0" w:line="240" w:lineRule="auto"/>
        <w:ind w:firstLine="567"/>
        <w:jc w:val="both"/>
        <w:rPr>
          <w:rFonts w:eastAsia="Times New Roman" w:cs="Times New Roman"/>
          <w:b/>
          <w:szCs w:val="24"/>
        </w:rPr>
      </w:pPr>
      <w:r w:rsidRPr="00664847">
        <w:rPr>
          <w:rFonts w:eastAsia="Times New Roman" w:cs="Times New Roman"/>
          <w:b/>
          <w:noProof/>
          <w:position w:val="-32"/>
          <w:szCs w:val="24"/>
          <w:lang w:eastAsia="lt-LT"/>
        </w:rPr>
        <w:drawing>
          <wp:inline distT="0" distB="0" distL="0" distR="0" wp14:anchorId="0711BA12" wp14:editId="4E1C0833">
            <wp:extent cx="857250" cy="4667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57250" cy="466725"/>
                    </a:xfrm>
                    <a:prstGeom prst="rect">
                      <a:avLst/>
                    </a:prstGeom>
                    <a:noFill/>
                    <a:ln>
                      <a:noFill/>
                    </a:ln>
                  </pic:spPr>
                </pic:pic>
              </a:graphicData>
            </a:graphic>
          </wp:inline>
        </w:drawing>
      </w:r>
    </w:p>
    <w:p w:rsidR="00664847" w:rsidRPr="00664847" w:rsidRDefault="00664847" w:rsidP="00664847">
      <w:pPr>
        <w:tabs>
          <w:tab w:val="left" w:pos="851"/>
          <w:tab w:val="left" w:pos="1134"/>
        </w:tabs>
        <w:suppressAutoHyphens/>
        <w:spacing w:after="0" w:line="240" w:lineRule="auto"/>
        <w:ind w:firstLine="567"/>
        <w:jc w:val="both"/>
        <w:rPr>
          <w:rFonts w:eastAsia="Times New Roman" w:cs="Times New Roman"/>
          <w:b/>
          <w:szCs w:val="24"/>
        </w:rPr>
      </w:pPr>
    </w:p>
    <w:p w:rsidR="00664847" w:rsidRPr="00664847" w:rsidRDefault="00664847" w:rsidP="00664847">
      <w:pPr>
        <w:numPr>
          <w:ilvl w:val="0"/>
          <w:numId w:val="1"/>
        </w:numPr>
        <w:tabs>
          <w:tab w:val="left" w:pos="851"/>
        </w:tabs>
        <w:spacing w:after="0" w:line="240" w:lineRule="auto"/>
        <w:ind w:left="0" w:firstLine="567"/>
        <w:contextualSpacing/>
        <w:jc w:val="both"/>
        <w:rPr>
          <w:rFonts w:eastAsia="Calibri" w:cs="Times New Roman"/>
          <w:szCs w:val="24"/>
        </w:rPr>
      </w:pPr>
      <w:r w:rsidRPr="00664847">
        <w:rPr>
          <w:rFonts w:eastAsia="Calibri" w:cs="Times New Roman"/>
          <w:szCs w:val="24"/>
        </w:rPr>
        <w:t>Tiekėjai savo pasiūlymuose turi nurodyti papildomą statinio garantinio termino trukmę metais, (</w:t>
      </w:r>
      <w:proofErr w:type="spellStart"/>
      <w:r w:rsidRPr="00664847">
        <w:rPr>
          <w:rFonts w:eastAsia="Calibri" w:cs="Times New Roman"/>
          <w:szCs w:val="24"/>
        </w:rPr>
        <w:t>Tg</w:t>
      </w:r>
      <w:proofErr w:type="spellEnd"/>
      <w:r w:rsidRPr="00664847">
        <w:rPr>
          <w:rFonts w:eastAsia="Calibri" w:cs="Times New Roman"/>
          <w:szCs w:val="24"/>
        </w:rPr>
        <w:t xml:space="preserve">). Papildoma statinio garantinio termino trukmė metais – tiekėjo suteikiamas papildomas terminas, viršijantis minimalų teisės aktais nustatytą garantinį terminą (5 metai). </w:t>
      </w:r>
    </w:p>
    <w:p w:rsidR="00664847" w:rsidRPr="00664847" w:rsidRDefault="00664847" w:rsidP="00664847">
      <w:pPr>
        <w:numPr>
          <w:ilvl w:val="0"/>
          <w:numId w:val="1"/>
        </w:numPr>
        <w:tabs>
          <w:tab w:val="left" w:pos="851"/>
        </w:tabs>
        <w:spacing w:after="0" w:line="240" w:lineRule="auto"/>
        <w:ind w:left="0" w:firstLine="567"/>
        <w:contextualSpacing/>
        <w:jc w:val="both"/>
        <w:rPr>
          <w:rFonts w:eastAsia="Calibri" w:cs="Times New Roman"/>
          <w:szCs w:val="24"/>
        </w:rPr>
      </w:pPr>
      <w:r w:rsidRPr="00664847">
        <w:rPr>
          <w:rFonts w:eastAsia="Calibri" w:cs="Times New Roman"/>
          <w:szCs w:val="24"/>
        </w:rPr>
        <w:t>Papildomos statinio garantinio termino trukmės kriterijaus, išreikšto metais (</w:t>
      </w:r>
      <w:proofErr w:type="spellStart"/>
      <w:r w:rsidRPr="00664847">
        <w:rPr>
          <w:rFonts w:eastAsia="Calibri" w:cs="Times New Roman"/>
          <w:szCs w:val="24"/>
        </w:rPr>
        <w:t>Tg</w:t>
      </w:r>
      <w:proofErr w:type="spellEnd"/>
      <w:r w:rsidRPr="00664847">
        <w:rPr>
          <w:rFonts w:eastAsia="Calibri" w:cs="Times New Roman"/>
          <w:szCs w:val="24"/>
        </w:rPr>
        <w:t>), balai priskiriami taip: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9"/>
        <w:gridCol w:w="4129"/>
      </w:tblGrid>
      <w:tr w:rsidR="00664847" w:rsidRPr="00664847" w:rsidTr="00B00834">
        <w:trPr>
          <w:jc w:val="center"/>
        </w:trPr>
        <w:tc>
          <w:tcPr>
            <w:tcW w:w="5499" w:type="dxa"/>
            <w:tcBorders>
              <w:top w:val="single" w:sz="4" w:space="0" w:color="auto"/>
              <w:left w:val="single" w:sz="4" w:space="0" w:color="auto"/>
              <w:bottom w:val="single" w:sz="4" w:space="0" w:color="auto"/>
              <w:right w:val="single" w:sz="4" w:space="0" w:color="auto"/>
            </w:tcBorders>
          </w:tcPr>
          <w:p w:rsidR="00664847" w:rsidRPr="00664847" w:rsidRDefault="00664847" w:rsidP="00664847">
            <w:pPr>
              <w:keepNext/>
              <w:suppressAutoHyphens/>
              <w:spacing w:after="0" w:line="240" w:lineRule="auto"/>
              <w:jc w:val="center"/>
              <w:outlineLvl w:val="1"/>
              <w:rPr>
                <w:rFonts w:eastAsia="Times New Roman" w:cs="Times New Roman"/>
                <w:b/>
                <w:szCs w:val="24"/>
              </w:rPr>
            </w:pPr>
            <w:r w:rsidRPr="00664847">
              <w:rPr>
                <w:rFonts w:eastAsia="Times New Roman" w:cs="Times New Roman"/>
                <w:b/>
                <w:szCs w:val="24"/>
              </w:rPr>
              <w:t>Tiekėjo siūloma papildoma statinio garantinio termino trukmė metais, (</w:t>
            </w:r>
            <w:proofErr w:type="spellStart"/>
            <w:r w:rsidRPr="00664847">
              <w:rPr>
                <w:rFonts w:eastAsia="Times New Roman" w:cs="Times New Roman"/>
                <w:b/>
                <w:szCs w:val="24"/>
              </w:rPr>
              <w:t>Tg</w:t>
            </w:r>
            <w:proofErr w:type="spellEnd"/>
            <w:r w:rsidRPr="00664847">
              <w:rPr>
                <w:rFonts w:eastAsia="Times New Roman" w:cs="Times New Roman"/>
                <w:b/>
                <w:szCs w:val="24"/>
              </w:rPr>
              <w:t>)</w:t>
            </w:r>
          </w:p>
        </w:tc>
        <w:tc>
          <w:tcPr>
            <w:tcW w:w="4129" w:type="dxa"/>
            <w:tcBorders>
              <w:top w:val="single" w:sz="4" w:space="0" w:color="auto"/>
              <w:left w:val="single" w:sz="4" w:space="0" w:color="auto"/>
              <w:bottom w:val="single" w:sz="4" w:space="0" w:color="auto"/>
              <w:right w:val="single" w:sz="4" w:space="0" w:color="auto"/>
            </w:tcBorders>
          </w:tcPr>
          <w:p w:rsidR="00664847" w:rsidRPr="00664847" w:rsidRDefault="00664847" w:rsidP="00664847">
            <w:pPr>
              <w:keepNext/>
              <w:suppressAutoHyphens/>
              <w:spacing w:after="0" w:line="240" w:lineRule="auto"/>
              <w:jc w:val="center"/>
              <w:outlineLvl w:val="1"/>
              <w:rPr>
                <w:rFonts w:eastAsia="Times New Roman" w:cs="Times New Roman"/>
                <w:b/>
                <w:szCs w:val="24"/>
              </w:rPr>
            </w:pPr>
            <w:r w:rsidRPr="00664847">
              <w:rPr>
                <w:rFonts w:eastAsia="Times New Roman" w:cs="Times New Roman"/>
                <w:b/>
                <w:szCs w:val="24"/>
              </w:rPr>
              <w:t>Ekonominio naudingumo balai, kurie bus suteikti šiam kriterijui</w:t>
            </w:r>
          </w:p>
        </w:tc>
      </w:tr>
      <w:tr w:rsidR="00664847" w:rsidRPr="00664847" w:rsidTr="00B00834">
        <w:trPr>
          <w:jc w:val="center"/>
        </w:trPr>
        <w:tc>
          <w:tcPr>
            <w:tcW w:w="5499" w:type="dxa"/>
            <w:tcBorders>
              <w:top w:val="single" w:sz="4" w:space="0" w:color="auto"/>
              <w:left w:val="single" w:sz="4" w:space="0" w:color="auto"/>
              <w:bottom w:val="single" w:sz="4" w:space="0" w:color="auto"/>
              <w:right w:val="single" w:sz="4" w:space="0" w:color="auto"/>
            </w:tcBorders>
          </w:tcPr>
          <w:p w:rsidR="00664847" w:rsidRPr="00664847" w:rsidRDefault="00664847" w:rsidP="00664847">
            <w:pPr>
              <w:keepNext/>
              <w:suppressAutoHyphens/>
              <w:spacing w:after="0" w:line="240" w:lineRule="auto"/>
              <w:jc w:val="center"/>
              <w:outlineLvl w:val="1"/>
              <w:rPr>
                <w:rFonts w:eastAsia="Times New Roman" w:cs="Times New Roman"/>
                <w:szCs w:val="24"/>
              </w:rPr>
            </w:pPr>
            <w:r w:rsidRPr="00664847">
              <w:rPr>
                <w:rFonts w:eastAsia="Times New Roman" w:cs="Times New Roman"/>
                <w:szCs w:val="24"/>
              </w:rPr>
              <w:t>0</w:t>
            </w:r>
          </w:p>
        </w:tc>
        <w:tc>
          <w:tcPr>
            <w:tcW w:w="4129" w:type="dxa"/>
            <w:tcBorders>
              <w:top w:val="single" w:sz="4" w:space="0" w:color="auto"/>
              <w:left w:val="single" w:sz="4" w:space="0" w:color="auto"/>
              <w:bottom w:val="single" w:sz="4" w:space="0" w:color="auto"/>
              <w:right w:val="single" w:sz="4" w:space="0" w:color="auto"/>
            </w:tcBorders>
          </w:tcPr>
          <w:p w:rsidR="00664847" w:rsidRPr="00664847" w:rsidRDefault="00664847" w:rsidP="00664847">
            <w:pPr>
              <w:keepNext/>
              <w:suppressAutoHyphens/>
              <w:spacing w:after="0" w:line="240" w:lineRule="auto"/>
              <w:jc w:val="center"/>
              <w:outlineLvl w:val="1"/>
              <w:rPr>
                <w:rFonts w:eastAsia="Times New Roman" w:cs="Times New Roman"/>
                <w:bCs/>
                <w:szCs w:val="24"/>
              </w:rPr>
            </w:pPr>
            <w:r w:rsidRPr="00664847">
              <w:rPr>
                <w:rFonts w:eastAsia="Times New Roman" w:cs="Times New Roman"/>
                <w:bCs/>
                <w:szCs w:val="24"/>
              </w:rPr>
              <w:t>0</w:t>
            </w:r>
          </w:p>
        </w:tc>
      </w:tr>
      <w:tr w:rsidR="00664847" w:rsidRPr="00664847" w:rsidTr="00B00834">
        <w:trPr>
          <w:jc w:val="center"/>
        </w:trPr>
        <w:tc>
          <w:tcPr>
            <w:tcW w:w="5499" w:type="dxa"/>
            <w:tcBorders>
              <w:top w:val="single" w:sz="4" w:space="0" w:color="auto"/>
              <w:left w:val="single" w:sz="4" w:space="0" w:color="auto"/>
              <w:bottom w:val="single" w:sz="4" w:space="0" w:color="auto"/>
              <w:right w:val="single" w:sz="4" w:space="0" w:color="auto"/>
            </w:tcBorders>
          </w:tcPr>
          <w:p w:rsidR="00664847" w:rsidRPr="00664847" w:rsidRDefault="00664847" w:rsidP="00664847">
            <w:pPr>
              <w:keepNext/>
              <w:suppressAutoHyphens/>
              <w:spacing w:after="0" w:line="240" w:lineRule="auto"/>
              <w:jc w:val="center"/>
              <w:outlineLvl w:val="1"/>
              <w:rPr>
                <w:rFonts w:eastAsia="Times New Roman" w:cs="Times New Roman"/>
                <w:szCs w:val="24"/>
              </w:rPr>
            </w:pPr>
            <w:r w:rsidRPr="00664847">
              <w:rPr>
                <w:rFonts w:eastAsia="Times New Roman" w:cs="Times New Roman"/>
                <w:szCs w:val="24"/>
              </w:rPr>
              <w:t>1</w:t>
            </w:r>
          </w:p>
        </w:tc>
        <w:tc>
          <w:tcPr>
            <w:tcW w:w="4129" w:type="dxa"/>
            <w:tcBorders>
              <w:top w:val="single" w:sz="4" w:space="0" w:color="auto"/>
              <w:left w:val="single" w:sz="4" w:space="0" w:color="auto"/>
              <w:bottom w:val="single" w:sz="4" w:space="0" w:color="auto"/>
              <w:right w:val="single" w:sz="4" w:space="0" w:color="auto"/>
            </w:tcBorders>
          </w:tcPr>
          <w:p w:rsidR="00664847" w:rsidRPr="00664847" w:rsidRDefault="00664847" w:rsidP="00664847">
            <w:pPr>
              <w:keepNext/>
              <w:suppressAutoHyphens/>
              <w:spacing w:after="0" w:line="240" w:lineRule="auto"/>
              <w:jc w:val="center"/>
              <w:outlineLvl w:val="1"/>
              <w:rPr>
                <w:rFonts w:eastAsia="Times New Roman" w:cs="Times New Roman"/>
                <w:szCs w:val="24"/>
              </w:rPr>
            </w:pPr>
            <w:r w:rsidRPr="00664847">
              <w:rPr>
                <w:rFonts w:eastAsia="Times New Roman" w:cs="Times New Roman"/>
                <w:szCs w:val="24"/>
              </w:rPr>
              <w:t>2</w:t>
            </w:r>
          </w:p>
        </w:tc>
      </w:tr>
      <w:tr w:rsidR="00664847" w:rsidRPr="00664847" w:rsidTr="00B00834">
        <w:trPr>
          <w:jc w:val="center"/>
        </w:trPr>
        <w:tc>
          <w:tcPr>
            <w:tcW w:w="5499" w:type="dxa"/>
            <w:tcBorders>
              <w:top w:val="single" w:sz="4" w:space="0" w:color="auto"/>
              <w:left w:val="single" w:sz="4" w:space="0" w:color="auto"/>
              <w:bottom w:val="single" w:sz="4" w:space="0" w:color="auto"/>
              <w:right w:val="single" w:sz="4" w:space="0" w:color="auto"/>
            </w:tcBorders>
          </w:tcPr>
          <w:p w:rsidR="00664847" w:rsidRPr="00664847" w:rsidRDefault="00664847" w:rsidP="00664847">
            <w:pPr>
              <w:keepNext/>
              <w:suppressAutoHyphens/>
              <w:spacing w:after="0" w:line="240" w:lineRule="auto"/>
              <w:jc w:val="center"/>
              <w:outlineLvl w:val="1"/>
              <w:rPr>
                <w:rFonts w:eastAsia="Times New Roman" w:cs="Times New Roman"/>
                <w:szCs w:val="24"/>
              </w:rPr>
            </w:pPr>
            <w:r w:rsidRPr="00664847">
              <w:rPr>
                <w:rFonts w:eastAsia="Times New Roman" w:cs="Times New Roman"/>
                <w:szCs w:val="24"/>
              </w:rPr>
              <w:t>2</w:t>
            </w:r>
          </w:p>
        </w:tc>
        <w:tc>
          <w:tcPr>
            <w:tcW w:w="4129" w:type="dxa"/>
            <w:tcBorders>
              <w:top w:val="single" w:sz="4" w:space="0" w:color="auto"/>
              <w:left w:val="single" w:sz="4" w:space="0" w:color="auto"/>
              <w:bottom w:val="single" w:sz="4" w:space="0" w:color="auto"/>
              <w:right w:val="single" w:sz="4" w:space="0" w:color="auto"/>
            </w:tcBorders>
          </w:tcPr>
          <w:p w:rsidR="00664847" w:rsidRPr="00664847" w:rsidRDefault="00664847" w:rsidP="00664847">
            <w:pPr>
              <w:keepNext/>
              <w:suppressAutoHyphens/>
              <w:spacing w:after="0" w:line="240" w:lineRule="auto"/>
              <w:jc w:val="center"/>
              <w:outlineLvl w:val="1"/>
              <w:rPr>
                <w:rFonts w:eastAsia="Times New Roman" w:cs="Times New Roman"/>
                <w:szCs w:val="24"/>
              </w:rPr>
            </w:pPr>
            <w:r w:rsidRPr="00664847">
              <w:rPr>
                <w:rFonts w:eastAsia="Times New Roman" w:cs="Times New Roman"/>
                <w:szCs w:val="24"/>
              </w:rPr>
              <w:t>4</w:t>
            </w:r>
          </w:p>
        </w:tc>
      </w:tr>
      <w:tr w:rsidR="00664847" w:rsidRPr="00664847" w:rsidTr="00B00834">
        <w:trPr>
          <w:jc w:val="center"/>
        </w:trPr>
        <w:tc>
          <w:tcPr>
            <w:tcW w:w="5499" w:type="dxa"/>
            <w:tcBorders>
              <w:top w:val="single" w:sz="4" w:space="0" w:color="auto"/>
              <w:left w:val="single" w:sz="4" w:space="0" w:color="auto"/>
              <w:bottom w:val="single" w:sz="4" w:space="0" w:color="auto"/>
              <w:right w:val="single" w:sz="4" w:space="0" w:color="auto"/>
            </w:tcBorders>
          </w:tcPr>
          <w:p w:rsidR="00664847" w:rsidRPr="00664847" w:rsidRDefault="00664847" w:rsidP="00664847">
            <w:pPr>
              <w:keepNext/>
              <w:suppressAutoHyphens/>
              <w:spacing w:after="0" w:line="240" w:lineRule="auto"/>
              <w:jc w:val="center"/>
              <w:outlineLvl w:val="1"/>
              <w:rPr>
                <w:rFonts w:eastAsia="Times New Roman" w:cs="Times New Roman"/>
                <w:szCs w:val="24"/>
              </w:rPr>
            </w:pPr>
            <w:r w:rsidRPr="00664847">
              <w:rPr>
                <w:rFonts w:eastAsia="Times New Roman" w:cs="Times New Roman"/>
                <w:szCs w:val="24"/>
              </w:rPr>
              <w:t>3</w:t>
            </w:r>
          </w:p>
        </w:tc>
        <w:tc>
          <w:tcPr>
            <w:tcW w:w="4129" w:type="dxa"/>
            <w:tcBorders>
              <w:top w:val="single" w:sz="4" w:space="0" w:color="auto"/>
              <w:left w:val="single" w:sz="4" w:space="0" w:color="auto"/>
              <w:bottom w:val="single" w:sz="4" w:space="0" w:color="auto"/>
              <w:right w:val="single" w:sz="4" w:space="0" w:color="auto"/>
            </w:tcBorders>
          </w:tcPr>
          <w:p w:rsidR="00664847" w:rsidRPr="00664847" w:rsidRDefault="00664847" w:rsidP="00664847">
            <w:pPr>
              <w:keepNext/>
              <w:suppressAutoHyphens/>
              <w:spacing w:after="0" w:line="240" w:lineRule="auto"/>
              <w:jc w:val="center"/>
              <w:outlineLvl w:val="1"/>
              <w:rPr>
                <w:rFonts w:eastAsia="Times New Roman" w:cs="Times New Roman"/>
                <w:szCs w:val="24"/>
              </w:rPr>
            </w:pPr>
            <w:r w:rsidRPr="00664847">
              <w:rPr>
                <w:rFonts w:eastAsia="Times New Roman" w:cs="Times New Roman"/>
                <w:szCs w:val="24"/>
              </w:rPr>
              <w:t>6</w:t>
            </w:r>
          </w:p>
        </w:tc>
      </w:tr>
      <w:tr w:rsidR="00664847" w:rsidRPr="00664847" w:rsidTr="00B00834">
        <w:trPr>
          <w:jc w:val="center"/>
        </w:trPr>
        <w:tc>
          <w:tcPr>
            <w:tcW w:w="5499" w:type="dxa"/>
            <w:tcBorders>
              <w:top w:val="single" w:sz="4" w:space="0" w:color="auto"/>
              <w:left w:val="single" w:sz="4" w:space="0" w:color="auto"/>
              <w:bottom w:val="single" w:sz="4" w:space="0" w:color="auto"/>
              <w:right w:val="single" w:sz="4" w:space="0" w:color="auto"/>
            </w:tcBorders>
          </w:tcPr>
          <w:p w:rsidR="00664847" w:rsidRPr="00664847" w:rsidRDefault="00664847" w:rsidP="00664847">
            <w:pPr>
              <w:keepNext/>
              <w:suppressAutoHyphens/>
              <w:spacing w:after="0" w:line="240" w:lineRule="auto"/>
              <w:jc w:val="center"/>
              <w:outlineLvl w:val="1"/>
              <w:rPr>
                <w:rFonts w:eastAsia="Times New Roman" w:cs="Times New Roman"/>
                <w:szCs w:val="24"/>
              </w:rPr>
            </w:pPr>
            <w:r w:rsidRPr="00664847">
              <w:rPr>
                <w:rFonts w:eastAsia="Times New Roman" w:cs="Times New Roman"/>
                <w:szCs w:val="24"/>
              </w:rPr>
              <w:t>4</w:t>
            </w:r>
          </w:p>
        </w:tc>
        <w:tc>
          <w:tcPr>
            <w:tcW w:w="4129" w:type="dxa"/>
            <w:tcBorders>
              <w:top w:val="single" w:sz="4" w:space="0" w:color="auto"/>
              <w:left w:val="single" w:sz="4" w:space="0" w:color="auto"/>
              <w:bottom w:val="single" w:sz="4" w:space="0" w:color="auto"/>
              <w:right w:val="single" w:sz="4" w:space="0" w:color="auto"/>
            </w:tcBorders>
          </w:tcPr>
          <w:p w:rsidR="00664847" w:rsidRPr="00664847" w:rsidRDefault="00664847" w:rsidP="00664847">
            <w:pPr>
              <w:keepNext/>
              <w:suppressAutoHyphens/>
              <w:spacing w:after="0" w:line="240" w:lineRule="auto"/>
              <w:jc w:val="center"/>
              <w:outlineLvl w:val="1"/>
              <w:rPr>
                <w:rFonts w:eastAsia="Times New Roman" w:cs="Times New Roman"/>
                <w:szCs w:val="24"/>
              </w:rPr>
            </w:pPr>
            <w:r w:rsidRPr="00664847">
              <w:rPr>
                <w:rFonts w:eastAsia="Times New Roman" w:cs="Times New Roman"/>
                <w:szCs w:val="24"/>
              </w:rPr>
              <w:t>8</w:t>
            </w:r>
          </w:p>
        </w:tc>
      </w:tr>
      <w:tr w:rsidR="00664847" w:rsidRPr="00664847" w:rsidTr="00B00834">
        <w:trPr>
          <w:trHeight w:val="70"/>
          <w:jc w:val="center"/>
        </w:trPr>
        <w:tc>
          <w:tcPr>
            <w:tcW w:w="5499" w:type="dxa"/>
            <w:tcBorders>
              <w:top w:val="single" w:sz="4" w:space="0" w:color="auto"/>
              <w:left w:val="single" w:sz="4" w:space="0" w:color="auto"/>
              <w:bottom w:val="single" w:sz="4" w:space="0" w:color="auto"/>
              <w:right w:val="single" w:sz="4" w:space="0" w:color="auto"/>
            </w:tcBorders>
          </w:tcPr>
          <w:p w:rsidR="00664847" w:rsidRPr="00664847" w:rsidRDefault="00664847" w:rsidP="00664847">
            <w:pPr>
              <w:keepNext/>
              <w:suppressAutoHyphens/>
              <w:spacing w:after="0" w:line="240" w:lineRule="auto"/>
              <w:jc w:val="center"/>
              <w:outlineLvl w:val="1"/>
              <w:rPr>
                <w:rFonts w:eastAsia="Times New Roman" w:cs="Times New Roman"/>
                <w:szCs w:val="24"/>
              </w:rPr>
            </w:pPr>
            <w:r w:rsidRPr="00664847">
              <w:rPr>
                <w:rFonts w:eastAsia="Times New Roman" w:cs="Times New Roman"/>
                <w:szCs w:val="24"/>
              </w:rPr>
              <w:t>5 ir daugiau</w:t>
            </w:r>
          </w:p>
        </w:tc>
        <w:tc>
          <w:tcPr>
            <w:tcW w:w="4129" w:type="dxa"/>
            <w:tcBorders>
              <w:top w:val="single" w:sz="4" w:space="0" w:color="auto"/>
              <w:left w:val="single" w:sz="4" w:space="0" w:color="auto"/>
              <w:bottom w:val="single" w:sz="4" w:space="0" w:color="auto"/>
              <w:right w:val="single" w:sz="4" w:space="0" w:color="auto"/>
            </w:tcBorders>
          </w:tcPr>
          <w:p w:rsidR="00664847" w:rsidRPr="00664847" w:rsidRDefault="00664847" w:rsidP="00664847">
            <w:pPr>
              <w:keepNext/>
              <w:suppressAutoHyphens/>
              <w:spacing w:after="0" w:line="240" w:lineRule="auto"/>
              <w:jc w:val="center"/>
              <w:outlineLvl w:val="1"/>
              <w:rPr>
                <w:rFonts w:eastAsia="Times New Roman" w:cs="Times New Roman"/>
                <w:szCs w:val="24"/>
              </w:rPr>
            </w:pPr>
            <w:r w:rsidRPr="00664847">
              <w:rPr>
                <w:rFonts w:eastAsia="Times New Roman" w:cs="Times New Roman"/>
                <w:szCs w:val="24"/>
              </w:rPr>
              <w:t>10</w:t>
            </w:r>
          </w:p>
        </w:tc>
      </w:tr>
    </w:tbl>
    <w:p w:rsidR="00664847" w:rsidRPr="00664847" w:rsidRDefault="00664847" w:rsidP="00664847">
      <w:pPr>
        <w:spacing w:after="0" w:line="240" w:lineRule="auto"/>
        <w:ind w:firstLine="567"/>
        <w:contextualSpacing/>
        <w:jc w:val="both"/>
        <w:rPr>
          <w:rFonts w:eastAsia="Times New Roman" w:cs="Times New Roman"/>
          <w:szCs w:val="24"/>
        </w:rPr>
      </w:pPr>
    </w:p>
    <w:p w:rsidR="00664847" w:rsidRPr="00664847" w:rsidRDefault="00664847" w:rsidP="00664847">
      <w:pPr>
        <w:spacing w:after="0" w:line="240" w:lineRule="auto"/>
        <w:ind w:firstLine="567"/>
        <w:contextualSpacing/>
        <w:jc w:val="both"/>
        <w:rPr>
          <w:rFonts w:eastAsia="Times New Roman" w:cs="Times New Roman"/>
          <w:i/>
          <w:szCs w:val="24"/>
        </w:rPr>
      </w:pPr>
      <w:r w:rsidRPr="00664847">
        <w:rPr>
          <w:rFonts w:eastAsia="Times New Roman" w:cs="Times New Roman"/>
          <w:i/>
          <w:szCs w:val="24"/>
        </w:rPr>
        <w:t xml:space="preserve">*Pastaba: balai skiriami už papildomus, </w:t>
      </w:r>
      <w:proofErr w:type="spellStart"/>
      <w:r w:rsidRPr="00664847">
        <w:rPr>
          <w:rFonts w:eastAsia="Times New Roman" w:cs="Times New Roman"/>
          <w:i/>
          <w:szCs w:val="24"/>
        </w:rPr>
        <w:t>t.y</w:t>
      </w:r>
      <w:proofErr w:type="spellEnd"/>
      <w:r w:rsidRPr="00664847">
        <w:rPr>
          <w:rFonts w:eastAsia="Times New Roman" w:cs="Times New Roman"/>
          <w:i/>
          <w:szCs w:val="24"/>
        </w:rPr>
        <w:t>. tik tuos metus, kurie pridedami prie pagal CK privalomų garantinio termino 5 metų, pvz.: 0 papildomų metų - 0 balų, 1 papildomi metai - 2 balai, 2 papildomi metai – 4 balai ir t.t.</w:t>
      </w:r>
    </w:p>
    <w:p w:rsidR="00664847" w:rsidRPr="00664847" w:rsidRDefault="00664847" w:rsidP="00664847">
      <w:pPr>
        <w:spacing w:after="0" w:line="240" w:lineRule="auto"/>
        <w:ind w:firstLine="567"/>
        <w:contextualSpacing/>
        <w:jc w:val="both"/>
        <w:rPr>
          <w:rFonts w:eastAsia="Times New Roman" w:cs="Times New Roman"/>
          <w:szCs w:val="24"/>
        </w:rPr>
      </w:pPr>
    </w:p>
    <w:p w:rsidR="00664847" w:rsidRPr="00664847" w:rsidRDefault="00664847" w:rsidP="00664847">
      <w:pPr>
        <w:numPr>
          <w:ilvl w:val="0"/>
          <w:numId w:val="1"/>
        </w:numPr>
        <w:spacing w:after="0" w:line="240" w:lineRule="auto"/>
        <w:ind w:left="0" w:firstLine="567"/>
        <w:contextualSpacing/>
        <w:jc w:val="both"/>
        <w:rPr>
          <w:rFonts w:eastAsia="Calibri" w:cs="Times New Roman"/>
          <w:szCs w:val="24"/>
        </w:rPr>
      </w:pPr>
      <w:r w:rsidRPr="00664847">
        <w:rPr>
          <w:rFonts w:eastAsia="Times New Roman" w:cs="Times New Roman"/>
          <w:szCs w:val="24"/>
        </w:rPr>
        <w:lastRenderedPageBreak/>
        <w:t>Tiekėjas savo pasiūlyme turi nurodyti jo siūlomą papildomą statinio garantinio termino trukmę (galimi tik šeši papildomos statinio garantinio termino trukmės variantai, pateikti lentelėje) lyginiais skaičiais, išreikštą metais.</w:t>
      </w:r>
      <w:r w:rsidRPr="00664847">
        <w:rPr>
          <w:rFonts w:eastAsia="Calibri" w:cs="Times New Roman"/>
          <w:szCs w:val="24"/>
        </w:rPr>
        <w:t xml:space="preserve"> </w:t>
      </w:r>
      <w:r w:rsidRPr="00664847">
        <w:rPr>
          <w:rFonts w:eastAsia="Times New Roman" w:cs="Times New Roman"/>
          <w:szCs w:val="24"/>
        </w:rPr>
        <w:t>Pirkimo dokumentuose numatomi minimalūs garantiniai įsipareigojimai, o tiekėjai gali siūlyti papildomus garantinius terminus, kurie bus vertinami.</w:t>
      </w:r>
    </w:p>
    <w:p w:rsidR="00664847" w:rsidRPr="00664847" w:rsidRDefault="00664847" w:rsidP="00664847">
      <w:pPr>
        <w:spacing w:after="0" w:line="240" w:lineRule="auto"/>
        <w:ind w:left="567"/>
        <w:contextualSpacing/>
        <w:jc w:val="both"/>
        <w:rPr>
          <w:rFonts w:eastAsia="Times New Roman" w:cs="Times New Roman"/>
          <w:szCs w:val="24"/>
        </w:rPr>
      </w:pPr>
    </w:p>
    <w:p w:rsidR="00664847" w:rsidRPr="00664847" w:rsidRDefault="00664847" w:rsidP="00664847">
      <w:pPr>
        <w:tabs>
          <w:tab w:val="left" w:pos="851"/>
        </w:tabs>
        <w:spacing w:line="240" w:lineRule="auto"/>
        <w:jc w:val="both"/>
        <w:rPr>
          <w:rFonts w:eastAsia="Calibri" w:cs="Times New Roman"/>
          <w:szCs w:val="24"/>
          <w:lang w:eastAsia="lt-LT"/>
        </w:rPr>
      </w:pPr>
    </w:p>
    <w:p w:rsidR="00664847" w:rsidRPr="00664847" w:rsidRDefault="00664847" w:rsidP="00664847">
      <w:pPr>
        <w:tabs>
          <w:tab w:val="left" w:pos="851"/>
        </w:tabs>
        <w:spacing w:line="240" w:lineRule="auto"/>
        <w:jc w:val="both"/>
        <w:rPr>
          <w:rFonts w:eastAsia="Calibri" w:cs="Times New Roman"/>
          <w:szCs w:val="24"/>
          <w:lang w:eastAsia="lt-LT"/>
        </w:rPr>
      </w:pPr>
    </w:p>
    <w:p w:rsidR="00150A3A" w:rsidRDefault="00150A3A">
      <w:bookmarkStart w:id="0" w:name="_GoBack"/>
      <w:bookmarkEnd w:id="0"/>
    </w:p>
    <w:sectPr w:rsidR="00150A3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809"/>
    <w:rsid w:val="00150A3A"/>
    <w:rsid w:val="00212809"/>
    <w:rsid w:val="006648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4FF999-88E9-49B7-B91C-F96727775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1658</Words>
  <Characters>946</Characters>
  <Application>Microsoft Office Word</Application>
  <DocSecurity>0</DocSecurity>
  <Lines>7</Lines>
  <Paragraphs>5</Paragraphs>
  <ScaleCrop>false</ScaleCrop>
  <Company>HP Inc.</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2</cp:revision>
  <dcterms:created xsi:type="dcterms:W3CDTF">2024-04-24T07:56:00Z</dcterms:created>
  <dcterms:modified xsi:type="dcterms:W3CDTF">2024-04-24T07:57:00Z</dcterms:modified>
</cp:coreProperties>
</file>